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D4" w:rsidRPr="004737E3" w:rsidRDefault="00550C27" w:rsidP="00550C27">
      <w:pPr>
        <w:jc w:val="center"/>
        <w:rPr>
          <w:rFonts w:ascii="Arial" w:hAnsi="Arial" w:cs="Arial"/>
          <w:b/>
          <w:sz w:val="40"/>
          <w:szCs w:val="40"/>
        </w:rPr>
      </w:pPr>
      <w:r w:rsidRPr="004737E3">
        <w:rPr>
          <w:rFonts w:ascii="Arial" w:hAnsi="Arial" w:cs="Arial"/>
          <w:b/>
          <w:sz w:val="40"/>
          <w:szCs w:val="40"/>
        </w:rPr>
        <w:t>CRITERIA AND PROCEDURE FOR THE SELECTION OF SCHOLARSHIP CANDIDATES FOR DOCTORAL DEGREE STUDIES IN PUBLIC AND BUSINESS ADMINISTRATION AT SHINAWATRA UNIVERSITY</w:t>
      </w:r>
      <w:r w:rsidR="00542C47" w:rsidRPr="004737E3">
        <w:rPr>
          <w:rFonts w:ascii="Arial" w:hAnsi="Arial" w:cs="Arial"/>
          <w:b/>
          <w:sz w:val="40"/>
          <w:szCs w:val="40"/>
        </w:rPr>
        <w:t xml:space="preserve"> (‘SIU’)</w:t>
      </w:r>
      <w:r w:rsidR="00D153D8" w:rsidRPr="004737E3">
        <w:rPr>
          <w:rFonts w:ascii="Arial" w:hAnsi="Arial" w:cs="Arial"/>
          <w:b/>
          <w:sz w:val="40"/>
          <w:szCs w:val="40"/>
        </w:rPr>
        <w:t xml:space="preserve"> COMMENCING IN JANUARY 2016</w:t>
      </w:r>
    </w:p>
    <w:p w:rsidR="00550C27" w:rsidRDefault="00550C27" w:rsidP="00550C2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................................................................................</w:t>
      </w:r>
    </w:p>
    <w:p w:rsidR="00550C27" w:rsidRDefault="00550C27" w:rsidP="00550C27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Policy</w:t>
      </w:r>
    </w:p>
    <w:p w:rsidR="00550C27" w:rsidRDefault="00B922D8" w:rsidP="00550C27">
      <w:pPr>
        <w:rPr>
          <w:sz w:val="28"/>
          <w:szCs w:val="28"/>
        </w:rPr>
      </w:pPr>
      <w:r>
        <w:rPr>
          <w:sz w:val="28"/>
          <w:szCs w:val="28"/>
        </w:rPr>
        <w:t xml:space="preserve">Shinawatra University </w:t>
      </w:r>
      <w:r w:rsidR="00E92A76">
        <w:rPr>
          <w:sz w:val="28"/>
          <w:szCs w:val="28"/>
        </w:rPr>
        <w:t xml:space="preserve">(‘SIU’) </w:t>
      </w:r>
      <w:r>
        <w:rPr>
          <w:sz w:val="28"/>
          <w:szCs w:val="28"/>
        </w:rPr>
        <w:t>Thailand sha</w:t>
      </w:r>
      <w:r w:rsidR="00550C27">
        <w:rPr>
          <w:sz w:val="28"/>
          <w:szCs w:val="28"/>
        </w:rPr>
        <w:t xml:space="preserve">ll make </w:t>
      </w:r>
      <w:r w:rsidR="00462D4B">
        <w:rPr>
          <w:sz w:val="28"/>
          <w:szCs w:val="28"/>
        </w:rPr>
        <w:t xml:space="preserve">a total of 20-25 </w:t>
      </w:r>
      <w:r w:rsidR="00550C27">
        <w:rPr>
          <w:sz w:val="28"/>
          <w:szCs w:val="28"/>
        </w:rPr>
        <w:t>scholarship</w:t>
      </w:r>
      <w:r w:rsidR="00EE30C9">
        <w:rPr>
          <w:sz w:val="28"/>
          <w:szCs w:val="28"/>
        </w:rPr>
        <w:t>s</w:t>
      </w:r>
      <w:r w:rsidR="00550C27">
        <w:rPr>
          <w:sz w:val="28"/>
          <w:szCs w:val="28"/>
        </w:rPr>
        <w:t xml:space="preserve"> equivalent to full tuition fees available to candidate</w:t>
      </w:r>
      <w:r w:rsidR="00EE30C9">
        <w:rPr>
          <w:sz w:val="28"/>
          <w:szCs w:val="28"/>
        </w:rPr>
        <w:t xml:space="preserve">s chosen </w:t>
      </w:r>
      <w:r w:rsidR="00E92A76">
        <w:rPr>
          <w:sz w:val="28"/>
          <w:szCs w:val="28"/>
        </w:rPr>
        <w:t>in accordance with the criteria specified below</w:t>
      </w:r>
      <w:r w:rsidR="00462D4B">
        <w:rPr>
          <w:sz w:val="28"/>
          <w:szCs w:val="28"/>
        </w:rPr>
        <w:t>.</w:t>
      </w:r>
      <w:r w:rsidR="00E92A76">
        <w:rPr>
          <w:sz w:val="28"/>
          <w:szCs w:val="28"/>
        </w:rPr>
        <w:t xml:space="preserve"> SIU retains absolute discretion at all times over the award, allocation, tenure, duration and terms of such scholarships.</w:t>
      </w:r>
    </w:p>
    <w:p w:rsidR="00550C27" w:rsidRDefault="00550C27" w:rsidP="00550C27">
      <w:pPr>
        <w:rPr>
          <w:sz w:val="28"/>
          <w:szCs w:val="28"/>
        </w:rPr>
      </w:pPr>
    </w:p>
    <w:p w:rsidR="00CA2980" w:rsidRPr="00CA2980" w:rsidRDefault="00CA2980" w:rsidP="00CA2980">
      <w:pPr>
        <w:rPr>
          <w:bCs/>
          <w:sz w:val="28"/>
          <w:szCs w:val="28"/>
        </w:rPr>
      </w:pPr>
      <w:r w:rsidRPr="00CA2980">
        <w:rPr>
          <w:bCs/>
          <w:sz w:val="28"/>
          <w:szCs w:val="28"/>
        </w:rPr>
        <w:t> </w:t>
      </w:r>
    </w:p>
    <w:p w:rsidR="00CA2980" w:rsidRPr="00C532C7" w:rsidRDefault="00C532C7" w:rsidP="00CA29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Nomenclature and Rationale</w:t>
      </w:r>
    </w:p>
    <w:p w:rsidR="00943431" w:rsidRDefault="00943431" w:rsidP="00CA298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The nomenclature for this arrangement shall be the Shinawatra University “</w:t>
      </w:r>
      <w:r w:rsidRPr="00B922D8">
        <w:rPr>
          <w:bCs/>
          <w:i/>
          <w:sz w:val="28"/>
          <w:szCs w:val="28"/>
        </w:rPr>
        <w:t>Brightest and Best in ASEAN</w:t>
      </w:r>
      <w:r w:rsidR="00514178">
        <w:rPr>
          <w:bCs/>
          <w:i/>
          <w:sz w:val="28"/>
          <w:szCs w:val="28"/>
        </w:rPr>
        <w:t xml:space="preserve"> and Globally</w:t>
      </w:r>
      <w:r>
        <w:rPr>
          <w:bCs/>
          <w:sz w:val="28"/>
          <w:szCs w:val="28"/>
        </w:rPr>
        <w:t xml:space="preserve">” </w:t>
      </w:r>
      <w:r w:rsidRPr="00943431">
        <w:rPr>
          <w:bCs/>
          <w:sz w:val="28"/>
          <w:szCs w:val="28"/>
        </w:rPr>
        <w:t>scholarship</w:t>
      </w:r>
      <w:r>
        <w:rPr>
          <w:bCs/>
          <w:sz w:val="28"/>
          <w:szCs w:val="28"/>
        </w:rPr>
        <w:t xml:space="preserve"> scheme</w:t>
      </w:r>
      <w:r w:rsidR="002729FC">
        <w:rPr>
          <w:bCs/>
          <w:sz w:val="28"/>
          <w:szCs w:val="28"/>
        </w:rPr>
        <w:t>, January 2016</w:t>
      </w:r>
      <w:r>
        <w:rPr>
          <w:bCs/>
          <w:sz w:val="28"/>
          <w:szCs w:val="28"/>
        </w:rPr>
        <w:t>.</w:t>
      </w:r>
    </w:p>
    <w:p w:rsidR="00CA2980" w:rsidRPr="00CA2980" w:rsidRDefault="00CA2980" w:rsidP="00CA2980">
      <w:pPr>
        <w:rPr>
          <w:bCs/>
          <w:sz w:val="28"/>
          <w:szCs w:val="28"/>
        </w:rPr>
      </w:pPr>
      <w:r w:rsidRPr="00CA2980">
        <w:rPr>
          <w:bCs/>
          <w:sz w:val="28"/>
          <w:szCs w:val="28"/>
        </w:rPr>
        <w:t xml:space="preserve">The </w:t>
      </w:r>
      <w:r w:rsidR="00C97ADA">
        <w:rPr>
          <w:bCs/>
          <w:sz w:val="28"/>
          <w:szCs w:val="28"/>
        </w:rPr>
        <w:t xml:space="preserve">purpose of this </w:t>
      </w:r>
      <w:r w:rsidRPr="00CA2980">
        <w:rPr>
          <w:bCs/>
          <w:sz w:val="28"/>
          <w:szCs w:val="28"/>
        </w:rPr>
        <w:t xml:space="preserve">scholarship </w:t>
      </w:r>
      <w:r w:rsidR="003A7B41">
        <w:rPr>
          <w:bCs/>
          <w:sz w:val="28"/>
          <w:szCs w:val="28"/>
        </w:rPr>
        <w:t>scheme is to contribute to the harmonisation of perspectives and practices, to expedite the progress of interdisciplinary cross-fertilisation and to facilitate opportunities for the sharing of information and expertise and the development of academic knowledge and professional skills across ASEAN</w:t>
      </w:r>
      <w:r w:rsidR="00E92A76">
        <w:rPr>
          <w:bCs/>
          <w:sz w:val="28"/>
          <w:szCs w:val="28"/>
        </w:rPr>
        <w:t xml:space="preserve">, </w:t>
      </w:r>
      <w:r w:rsidR="003A7B41">
        <w:rPr>
          <w:bCs/>
          <w:sz w:val="28"/>
          <w:szCs w:val="28"/>
        </w:rPr>
        <w:t>adjacent territories</w:t>
      </w:r>
      <w:r w:rsidRPr="00CA2980">
        <w:rPr>
          <w:bCs/>
          <w:sz w:val="28"/>
          <w:szCs w:val="28"/>
        </w:rPr>
        <w:t> </w:t>
      </w:r>
      <w:r w:rsidR="00E92A76">
        <w:rPr>
          <w:bCs/>
          <w:sz w:val="28"/>
          <w:szCs w:val="28"/>
        </w:rPr>
        <w:t xml:space="preserve">and globally </w:t>
      </w:r>
      <w:r w:rsidR="003A7B41">
        <w:rPr>
          <w:bCs/>
          <w:sz w:val="28"/>
          <w:szCs w:val="28"/>
        </w:rPr>
        <w:t>in Public and Business Administration.</w:t>
      </w:r>
    </w:p>
    <w:p w:rsidR="00CA2980" w:rsidRDefault="00CA2980" w:rsidP="00CA2980">
      <w:pPr>
        <w:rPr>
          <w:bCs/>
          <w:sz w:val="28"/>
          <w:szCs w:val="28"/>
        </w:rPr>
      </w:pPr>
    </w:p>
    <w:p w:rsidR="00E92A76" w:rsidRDefault="00E92A76" w:rsidP="00CA2980">
      <w:pPr>
        <w:rPr>
          <w:bCs/>
          <w:sz w:val="28"/>
          <w:szCs w:val="28"/>
        </w:rPr>
      </w:pPr>
    </w:p>
    <w:p w:rsidR="00E92A76" w:rsidRPr="00CA2980" w:rsidRDefault="00E92A76" w:rsidP="00CA2980">
      <w:pPr>
        <w:rPr>
          <w:bCs/>
          <w:sz w:val="28"/>
          <w:szCs w:val="28"/>
        </w:rPr>
      </w:pPr>
    </w:p>
    <w:p w:rsidR="00CA2980" w:rsidRPr="00CA2980" w:rsidRDefault="00CA2980" w:rsidP="00CA2980">
      <w:pPr>
        <w:rPr>
          <w:bCs/>
          <w:sz w:val="28"/>
          <w:szCs w:val="28"/>
        </w:rPr>
      </w:pPr>
    </w:p>
    <w:p w:rsidR="00CA2980" w:rsidRPr="00CA2980" w:rsidRDefault="00CA2980" w:rsidP="00CA2980">
      <w:pPr>
        <w:rPr>
          <w:b/>
          <w:bCs/>
          <w:sz w:val="28"/>
          <w:szCs w:val="28"/>
        </w:rPr>
      </w:pPr>
    </w:p>
    <w:p w:rsidR="00550C27" w:rsidRDefault="00550C27" w:rsidP="00550C27">
      <w:pPr>
        <w:rPr>
          <w:sz w:val="28"/>
          <w:szCs w:val="28"/>
        </w:rPr>
      </w:pPr>
      <w:r>
        <w:rPr>
          <w:b/>
          <w:sz w:val="28"/>
          <w:szCs w:val="28"/>
        </w:rPr>
        <w:t>Scholarships</w:t>
      </w:r>
    </w:p>
    <w:p w:rsidR="00550C27" w:rsidRDefault="00550C27" w:rsidP="00550C27">
      <w:pPr>
        <w:rPr>
          <w:sz w:val="28"/>
          <w:szCs w:val="28"/>
        </w:rPr>
      </w:pPr>
      <w:r>
        <w:rPr>
          <w:sz w:val="28"/>
          <w:szCs w:val="28"/>
        </w:rPr>
        <w:t xml:space="preserve">Scholarships are awarded to the equivalent of full tuition fees throughout </w:t>
      </w:r>
      <w:r w:rsidR="00307A07">
        <w:rPr>
          <w:sz w:val="28"/>
          <w:szCs w:val="28"/>
        </w:rPr>
        <w:t xml:space="preserve">the coursework element of </w:t>
      </w:r>
      <w:r>
        <w:rPr>
          <w:sz w:val="28"/>
          <w:szCs w:val="28"/>
        </w:rPr>
        <w:t>candidates’ doctoral studies at Shinawatra University</w:t>
      </w:r>
      <w:r w:rsidR="00307A07">
        <w:rPr>
          <w:sz w:val="28"/>
          <w:szCs w:val="28"/>
        </w:rPr>
        <w:t xml:space="preserve"> (</w:t>
      </w:r>
      <w:r w:rsidR="00E92A76">
        <w:rPr>
          <w:sz w:val="28"/>
          <w:szCs w:val="28"/>
        </w:rPr>
        <w:t>for</w:t>
      </w:r>
      <w:r w:rsidR="00307A07">
        <w:rPr>
          <w:sz w:val="28"/>
          <w:szCs w:val="28"/>
        </w:rPr>
        <w:t xml:space="preserve"> 2</w:t>
      </w:r>
      <w:r w:rsidR="00E92A76">
        <w:rPr>
          <w:sz w:val="28"/>
          <w:szCs w:val="28"/>
        </w:rPr>
        <w:t>-3</w:t>
      </w:r>
      <w:r w:rsidR="00307A07">
        <w:rPr>
          <w:sz w:val="28"/>
          <w:szCs w:val="28"/>
        </w:rPr>
        <w:t xml:space="preserve"> years)</w:t>
      </w:r>
      <w:r>
        <w:rPr>
          <w:sz w:val="28"/>
          <w:szCs w:val="28"/>
        </w:rPr>
        <w:t>. Scholarship holders remain responsible for meeting their own separate education fee, accommodation, subsistence, travel and miscellaneous costs.</w:t>
      </w:r>
    </w:p>
    <w:p w:rsidR="004C5586" w:rsidRDefault="007365D4" w:rsidP="004C5586">
      <w:pPr>
        <w:rPr>
          <w:sz w:val="28"/>
          <w:szCs w:val="28"/>
        </w:rPr>
      </w:pPr>
      <w:r>
        <w:rPr>
          <w:sz w:val="28"/>
          <w:szCs w:val="28"/>
        </w:rPr>
        <w:t xml:space="preserve">Please find details of some of </w:t>
      </w:r>
      <w:r w:rsidR="00E92A76">
        <w:rPr>
          <w:sz w:val="28"/>
          <w:szCs w:val="28"/>
        </w:rPr>
        <w:t xml:space="preserve">the foregoing </w:t>
      </w:r>
      <w:r w:rsidR="004C5586">
        <w:rPr>
          <w:sz w:val="28"/>
          <w:szCs w:val="28"/>
        </w:rPr>
        <w:t>costs</w:t>
      </w:r>
      <w:r>
        <w:rPr>
          <w:sz w:val="28"/>
          <w:szCs w:val="28"/>
        </w:rPr>
        <w:t>,</w:t>
      </w:r>
      <w:r w:rsidR="004C5586">
        <w:rPr>
          <w:sz w:val="28"/>
          <w:szCs w:val="28"/>
        </w:rPr>
        <w:t xml:space="preserve"> which students </w:t>
      </w:r>
      <w:r w:rsidR="00E92A76">
        <w:rPr>
          <w:sz w:val="28"/>
          <w:szCs w:val="28"/>
        </w:rPr>
        <w:t xml:space="preserve">who receive </w:t>
      </w:r>
      <w:r>
        <w:rPr>
          <w:sz w:val="28"/>
          <w:szCs w:val="28"/>
        </w:rPr>
        <w:t xml:space="preserve">scholarships </w:t>
      </w:r>
      <w:r w:rsidR="004C5586">
        <w:rPr>
          <w:sz w:val="28"/>
          <w:szCs w:val="28"/>
        </w:rPr>
        <w:t xml:space="preserve">are </w:t>
      </w:r>
      <w:r w:rsidR="00E92A76">
        <w:rPr>
          <w:sz w:val="28"/>
          <w:szCs w:val="28"/>
        </w:rPr>
        <w:t xml:space="preserve">still </w:t>
      </w:r>
      <w:r w:rsidR="004C5586">
        <w:rPr>
          <w:sz w:val="28"/>
          <w:szCs w:val="28"/>
        </w:rPr>
        <w:t>responsible for meeting</w:t>
      </w:r>
      <w:r>
        <w:rPr>
          <w:sz w:val="28"/>
          <w:szCs w:val="28"/>
        </w:rPr>
        <w:t>,</w:t>
      </w:r>
      <w:r w:rsidR="004C5586">
        <w:rPr>
          <w:sz w:val="28"/>
          <w:szCs w:val="28"/>
        </w:rPr>
        <w:t xml:space="preserve"> listed below:</w:t>
      </w:r>
    </w:p>
    <w:p w:rsidR="004C5586" w:rsidRPr="00C54FD2" w:rsidRDefault="004C5586" w:rsidP="004C5586">
      <w:pPr>
        <w:pStyle w:val="ListParagraph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C54FD2">
        <w:rPr>
          <w:color w:val="000000" w:themeColor="text1"/>
          <w:sz w:val="28"/>
          <w:szCs w:val="28"/>
        </w:rPr>
        <w:t xml:space="preserve">The education fee amounts to B 15,000 per semester. </w:t>
      </w:r>
    </w:p>
    <w:p w:rsidR="004C5586" w:rsidRPr="00C54FD2" w:rsidRDefault="004C5586" w:rsidP="004C5586">
      <w:pPr>
        <w:pStyle w:val="ListParagraph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C54FD2">
        <w:rPr>
          <w:color w:val="000000" w:themeColor="text1"/>
          <w:sz w:val="28"/>
          <w:szCs w:val="28"/>
        </w:rPr>
        <w:t>Monthly accommodation costs (for a room shared between 3 residents) at SIU’s main campus amount to B 3,000 per month.</w:t>
      </w:r>
    </w:p>
    <w:p w:rsidR="004C5586" w:rsidRPr="00C54FD2" w:rsidRDefault="004C5586" w:rsidP="004C5586">
      <w:pPr>
        <w:pStyle w:val="ListParagraph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C54FD2">
        <w:rPr>
          <w:color w:val="000000" w:themeColor="text1"/>
          <w:sz w:val="28"/>
          <w:szCs w:val="28"/>
        </w:rPr>
        <w:t xml:space="preserve">Health insurance costs amount to B 7,000 per academic year. </w:t>
      </w:r>
    </w:p>
    <w:p w:rsidR="004C5586" w:rsidRPr="00C54FD2" w:rsidRDefault="004C5586" w:rsidP="004C558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 universal currency converter is available at</w:t>
      </w:r>
      <w:r w:rsidR="007365D4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&lt;</w:t>
      </w:r>
      <w:hyperlink r:id="rId5" w:history="1">
        <w:r w:rsidRPr="008D5B22">
          <w:rPr>
            <w:rStyle w:val="Hyperlink"/>
            <w:sz w:val="28"/>
            <w:szCs w:val="28"/>
          </w:rPr>
          <w:t>http://www.xe.com/currencyconverter/</w:t>
        </w:r>
      </w:hyperlink>
      <w:r>
        <w:rPr>
          <w:color w:val="000000" w:themeColor="text1"/>
          <w:sz w:val="28"/>
          <w:szCs w:val="28"/>
        </w:rPr>
        <w:t xml:space="preserve">&gt;.  Please note that this facility is referred to for general </w:t>
      </w:r>
      <w:r w:rsidRPr="00C54FD2">
        <w:rPr>
          <w:color w:val="000000" w:themeColor="text1"/>
          <w:sz w:val="28"/>
          <w:szCs w:val="28"/>
        </w:rPr>
        <w:t xml:space="preserve">information </w:t>
      </w:r>
      <w:r>
        <w:rPr>
          <w:color w:val="000000" w:themeColor="text1"/>
          <w:sz w:val="28"/>
          <w:szCs w:val="28"/>
        </w:rPr>
        <w:t xml:space="preserve">and guidance purposes only. The details it contains are </w:t>
      </w:r>
      <w:r w:rsidRPr="00C54FD2">
        <w:rPr>
          <w:color w:val="000000" w:themeColor="text1"/>
          <w:sz w:val="28"/>
          <w:szCs w:val="28"/>
        </w:rPr>
        <w:t>subject to fluctuation</w:t>
      </w:r>
      <w:r>
        <w:rPr>
          <w:color w:val="000000" w:themeColor="text1"/>
          <w:sz w:val="28"/>
          <w:szCs w:val="28"/>
        </w:rPr>
        <w:t>; Shinawatra University offers no warranty as to their</w:t>
      </w:r>
      <w:r w:rsidRPr="00C54F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c</w:t>
      </w:r>
      <w:r w:rsidRPr="00C54FD2">
        <w:rPr>
          <w:color w:val="000000" w:themeColor="text1"/>
          <w:sz w:val="28"/>
          <w:szCs w:val="28"/>
        </w:rPr>
        <w:t xml:space="preserve">ontinuing accuracy after the date on which </w:t>
      </w:r>
      <w:r>
        <w:rPr>
          <w:color w:val="000000" w:themeColor="text1"/>
          <w:sz w:val="28"/>
          <w:szCs w:val="28"/>
        </w:rPr>
        <w:t xml:space="preserve">the site is accessed </w:t>
      </w:r>
      <w:r w:rsidRPr="00C54FD2">
        <w:rPr>
          <w:color w:val="000000" w:themeColor="text1"/>
          <w:sz w:val="28"/>
          <w:szCs w:val="28"/>
        </w:rPr>
        <w:t>and accepts no liability for any changes to currency equivalents after this date.</w:t>
      </w:r>
    </w:p>
    <w:p w:rsidR="00E92A76" w:rsidRDefault="00E92A76" w:rsidP="00751749">
      <w:pPr>
        <w:rPr>
          <w:b/>
          <w:color w:val="000000" w:themeColor="text1"/>
          <w:sz w:val="28"/>
          <w:szCs w:val="28"/>
        </w:rPr>
      </w:pPr>
    </w:p>
    <w:p w:rsidR="00E92A76" w:rsidRDefault="00E92A76" w:rsidP="00751749">
      <w:pPr>
        <w:rPr>
          <w:b/>
          <w:color w:val="000000" w:themeColor="text1"/>
          <w:sz w:val="28"/>
          <w:szCs w:val="28"/>
        </w:rPr>
      </w:pPr>
    </w:p>
    <w:p w:rsidR="007365D4" w:rsidRDefault="007365D4" w:rsidP="00751749">
      <w:pPr>
        <w:rPr>
          <w:b/>
          <w:color w:val="000000" w:themeColor="text1"/>
          <w:sz w:val="28"/>
          <w:szCs w:val="28"/>
        </w:rPr>
      </w:pPr>
    </w:p>
    <w:p w:rsidR="007365D4" w:rsidRDefault="007365D4" w:rsidP="00751749">
      <w:pPr>
        <w:rPr>
          <w:b/>
          <w:color w:val="000000" w:themeColor="text1"/>
          <w:sz w:val="28"/>
          <w:szCs w:val="28"/>
        </w:rPr>
      </w:pPr>
    </w:p>
    <w:p w:rsidR="007365D4" w:rsidRDefault="007365D4" w:rsidP="00751749">
      <w:pPr>
        <w:rPr>
          <w:b/>
          <w:color w:val="000000" w:themeColor="text1"/>
          <w:sz w:val="28"/>
          <w:szCs w:val="28"/>
        </w:rPr>
      </w:pPr>
    </w:p>
    <w:p w:rsidR="007365D4" w:rsidRDefault="007365D4" w:rsidP="00751749">
      <w:pPr>
        <w:rPr>
          <w:b/>
          <w:color w:val="000000" w:themeColor="text1"/>
          <w:sz w:val="28"/>
          <w:szCs w:val="28"/>
        </w:rPr>
      </w:pPr>
    </w:p>
    <w:p w:rsidR="007365D4" w:rsidRDefault="007365D4" w:rsidP="00751749">
      <w:pPr>
        <w:rPr>
          <w:b/>
          <w:color w:val="000000" w:themeColor="text1"/>
          <w:sz w:val="28"/>
          <w:szCs w:val="28"/>
        </w:rPr>
      </w:pPr>
    </w:p>
    <w:p w:rsidR="007365D4" w:rsidRDefault="007365D4" w:rsidP="00751749">
      <w:pPr>
        <w:rPr>
          <w:b/>
          <w:color w:val="000000" w:themeColor="text1"/>
          <w:sz w:val="28"/>
          <w:szCs w:val="28"/>
        </w:rPr>
      </w:pPr>
    </w:p>
    <w:p w:rsidR="007365D4" w:rsidRDefault="007365D4" w:rsidP="00751749">
      <w:pPr>
        <w:rPr>
          <w:b/>
          <w:color w:val="000000" w:themeColor="text1"/>
          <w:sz w:val="28"/>
          <w:szCs w:val="28"/>
        </w:rPr>
      </w:pPr>
    </w:p>
    <w:p w:rsidR="00751749" w:rsidRDefault="00751749" w:rsidP="00751749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Special dispensation</w:t>
      </w:r>
    </w:p>
    <w:p w:rsidR="00751749" w:rsidRDefault="00751749" w:rsidP="0075174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Special dispensation for scholarship candidates who in every other respect meet Shinawatra University’s suitability criteria under this scheme but are unable to meet the education fee costs referred to </w:t>
      </w:r>
      <w:r>
        <w:rPr>
          <w:i/>
          <w:color w:val="000000" w:themeColor="text1"/>
          <w:sz w:val="28"/>
          <w:szCs w:val="28"/>
        </w:rPr>
        <w:t>supra</w:t>
      </w:r>
      <w:r>
        <w:rPr>
          <w:color w:val="000000" w:themeColor="text1"/>
          <w:sz w:val="28"/>
          <w:szCs w:val="28"/>
        </w:rPr>
        <w:t xml:space="preserve"> may </w:t>
      </w:r>
      <w:r w:rsidR="007365D4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at the university’s discretion </w:t>
      </w:r>
      <w:r w:rsidR="007365D4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be granted whereby such costs are waived in consideration of the candidate’s undertaking an assignment as a Teaching Assistant at the university with responsibility for </w:t>
      </w:r>
      <w:r>
        <w:rPr>
          <w:b/>
          <w:color w:val="000000" w:themeColor="text1"/>
          <w:sz w:val="28"/>
          <w:szCs w:val="28"/>
        </w:rPr>
        <w:t>either</w:t>
      </w:r>
      <w:r>
        <w:rPr>
          <w:color w:val="000000" w:themeColor="text1"/>
          <w:sz w:val="28"/>
          <w:szCs w:val="28"/>
        </w:rPr>
        <w:t xml:space="preserve"> teaching one course per academic year (subject to their being able to offer classes consistent with the university’s academic provision) </w:t>
      </w:r>
      <w:r>
        <w:rPr>
          <w:b/>
          <w:color w:val="000000" w:themeColor="text1"/>
          <w:sz w:val="28"/>
          <w:szCs w:val="28"/>
        </w:rPr>
        <w:t>or</w:t>
      </w:r>
      <w:r>
        <w:rPr>
          <w:color w:val="000000" w:themeColor="text1"/>
          <w:sz w:val="28"/>
          <w:szCs w:val="28"/>
        </w:rPr>
        <w:t xml:space="preserve"> carrying out administrative work under the university’s direction. </w:t>
      </w:r>
    </w:p>
    <w:p w:rsidR="00751749" w:rsidRPr="00AD4803" w:rsidRDefault="00751749" w:rsidP="00751749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Further information about this facility may be obtained via the contact details set forth in the section entitled “</w:t>
      </w:r>
      <w:r>
        <w:rPr>
          <w:b/>
          <w:sz w:val="28"/>
          <w:szCs w:val="28"/>
        </w:rPr>
        <w:t>Scholarship Candidate Recommendation Procedure</w:t>
      </w:r>
      <w:r>
        <w:rPr>
          <w:sz w:val="28"/>
          <w:szCs w:val="28"/>
        </w:rPr>
        <w:t>” below.</w:t>
      </w:r>
    </w:p>
    <w:p w:rsidR="00751749" w:rsidRDefault="00751749" w:rsidP="00550C27">
      <w:pPr>
        <w:rPr>
          <w:b/>
          <w:sz w:val="28"/>
          <w:szCs w:val="28"/>
        </w:rPr>
      </w:pPr>
    </w:p>
    <w:p w:rsidR="007365D4" w:rsidRDefault="007365D4" w:rsidP="00550C27">
      <w:pPr>
        <w:rPr>
          <w:b/>
          <w:sz w:val="28"/>
          <w:szCs w:val="28"/>
        </w:rPr>
      </w:pPr>
    </w:p>
    <w:p w:rsidR="007365D4" w:rsidRDefault="007365D4" w:rsidP="00550C27">
      <w:pPr>
        <w:rPr>
          <w:b/>
          <w:sz w:val="28"/>
          <w:szCs w:val="28"/>
        </w:rPr>
      </w:pPr>
    </w:p>
    <w:p w:rsidR="007365D4" w:rsidRDefault="007365D4" w:rsidP="00550C27">
      <w:pPr>
        <w:rPr>
          <w:b/>
          <w:sz w:val="28"/>
          <w:szCs w:val="28"/>
        </w:rPr>
      </w:pPr>
    </w:p>
    <w:p w:rsidR="007365D4" w:rsidRDefault="007365D4" w:rsidP="00550C27">
      <w:pPr>
        <w:rPr>
          <w:b/>
          <w:sz w:val="28"/>
          <w:szCs w:val="28"/>
        </w:rPr>
      </w:pPr>
    </w:p>
    <w:p w:rsidR="007365D4" w:rsidRDefault="007365D4" w:rsidP="00550C27">
      <w:pPr>
        <w:rPr>
          <w:b/>
          <w:sz w:val="28"/>
          <w:szCs w:val="28"/>
        </w:rPr>
      </w:pPr>
    </w:p>
    <w:p w:rsidR="007365D4" w:rsidRDefault="007365D4" w:rsidP="00550C27">
      <w:pPr>
        <w:rPr>
          <w:b/>
          <w:sz w:val="28"/>
          <w:szCs w:val="28"/>
        </w:rPr>
      </w:pPr>
    </w:p>
    <w:p w:rsidR="007365D4" w:rsidRDefault="007365D4" w:rsidP="00550C27">
      <w:pPr>
        <w:rPr>
          <w:b/>
          <w:sz w:val="28"/>
          <w:szCs w:val="28"/>
        </w:rPr>
      </w:pPr>
    </w:p>
    <w:p w:rsidR="00751749" w:rsidRDefault="00751749" w:rsidP="00550C27">
      <w:pPr>
        <w:rPr>
          <w:b/>
          <w:sz w:val="28"/>
          <w:szCs w:val="28"/>
        </w:rPr>
      </w:pPr>
    </w:p>
    <w:p w:rsidR="007365D4" w:rsidRDefault="007365D4" w:rsidP="00550C27">
      <w:pPr>
        <w:rPr>
          <w:b/>
          <w:sz w:val="28"/>
          <w:szCs w:val="28"/>
        </w:rPr>
      </w:pPr>
    </w:p>
    <w:p w:rsidR="007365D4" w:rsidRDefault="007365D4" w:rsidP="00550C27">
      <w:pPr>
        <w:rPr>
          <w:b/>
          <w:sz w:val="28"/>
          <w:szCs w:val="28"/>
        </w:rPr>
      </w:pPr>
    </w:p>
    <w:p w:rsidR="007365D4" w:rsidRDefault="007365D4" w:rsidP="00550C27">
      <w:pPr>
        <w:rPr>
          <w:b/>
          <w:sz w:val="28"/>
          <w:szCs w:val="28"/>
        </w:rPr>
      </w:pPr>
    </w:p>
    <w:p w:rsidR="007365D4" w:rsidRDefault="007365D4" w:rsidP="00550C27">
      <w:pPr>
        <w:rPr>
          <w:b/>
          <w:sz w:val="28"/>
          <w:szCs w:val="28"/>
        </w:rPr>
      </w:pPr>
    </w:p>
    <w:p w:rsidR="007365D4" w:rsidRDefault="007365D4" w:rsidP="00550C27">
      <w:pPr>
        <w:rPr>
          <w:b/>
          <w:sz w:val="28"/>
          <w:szCs w:val="28"/>
        </w:rPr>
      </w:pPr>
    </w:p>
    <w:p w:rsidR="00BD307D" w:rsidRDefault="00BD307D" w:rsidP="00550C2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Eligibility for Tenure of Scholarships</w:t>
      </w:r>
    </w:p>
    <w:p w:rsidR="00BD307D" w:rsidRDefault="007365D4" w:rsidP="00550C27">
      <w:pPr>
        <w:rPr>
          <w:sz w:val="28"/>
          <w:szCs w:val="28"/>
        </w:rPr>
      </w:pPr>
      <w:r>
        <w:rPr>
          <w:sz w:val="28"/>
          <w:szCs w:val="28"/>
        </w:rPr>
        <w:t>Scholarship c</w:t>
      </w:r>
      <w:r w:rsidR="00E92A76">
        <w:rPr>
          <w:sz w:val="28"/>
          <w:szCs w:val="28"/>
        </w:rPr>
        <w:t xml:space="preserve">andidates </w:t>
      </w:r>
      <w:r>
        <w:rPr>
          <w:sz w:val="28"/>
          <w:szCs w:val="28"/>
        </w:rPr>
        <w:t xml:space="preserve">must </w:t>
      </w:r>
      <w:r w:rsidR="00E92A76">
        <w:rPr>
          <w:sz w:val="28"/>
          <w:szCs w:val="28"/>
        </w:rPr>
        <w:t xml:space="preserve">meet </w:t>
      </w:r>
      <w:r w:rsidR="00BD307D">
        <w:rPr>
          <w:sz w:val="28"/>
          <w:szCs w:val="28"/>
        </w:rPr>
        <w:t>the following eligibility criteria:</w:t>
      </w:r>
    </w:p>
    <w:p w:rsidR="00BD307D" w:rsidRDefault="00492A92" w:rsidP="00BD30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They must hold a Master’s degree</w:t>
      </w:r>
      <w:r w:rsidR="00307A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from a recognised </w:t>
      </w:r>
      <w:r w:rsidR="00307A07">
        <w:rPr>
          <w:sz w:val="28"/>
          <w:szCs w:val="28"/>
        </w:rPr>
        <w:t xml:space="preserve">higher education </w:t>
      </w:r>
      <w:r>
        <w:rPr>
          <w:sz w:val="28"/>
          <w:szCs w:val="28"/>
        </w:rPr>
        <w:t>institution;</w:t>
      </w:r>
    </w:p>
    <w:p w:rsidR="00B922D8" w:rsidRDefault="00FE0D57" w:rsidP="00B922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They must </w:t>
      </w:r>
      <w:r w:rsidR="007365D4">
        <w:rPr>
          <w:b/>
          <w:sz w:val="28"/>
          <w:szCs w:val="28"/>
        </w:rPr>
        <w:t xml:space="preserve">either </w:t>
      </w:r>
      <w:r>
        <w:rPr>
          <w:sz w:val="28"/>
          <w:szCs w:val="28"/>
        </w:rPr>
        <w:t>have secured a minimum GPA of 3.0 or equivalent at Master’s level</w:t>
      </w:r>
      <w:r w:rsidR="00B922D8">
        <w:rPr>
          <w:sz w:val="28"/>
          <w:szCs w:val="28"/>
        </w:rPr>
        <w:t xml:space="preserve"> </w:t>
      </w:r>
      <w:r w:rsidR="00B922D8">
        <w:rPr>
          <w:b/>
          <w:sz w:val="28"/>
          <w:szCs w:val="28"/>
        </w:rPr>
        <w:t>or</w:t>
      </w:r>
      <w:r w:rsidR="00B922D8">
        <w:rPr>
          <w:sz w:val="28"/>
          <w:szCs w:val="28"/>
        </w:rPr>
        <w:t xml:space="preserve"> </w:t>
      </w:r>
      <w:r w:rsidR="00E92A76">
        <w:rPr>
          <w:sz w:val="28"/>
          <w:szCs w:val="28"/>
        </w:rPr>
        <w:t>produce e</w:t>
      </w:r>
      <w:r w:rsidR="00B922D8">
        <w:rPr>
          <w:sz w:val="28"/>
          <w:szCs w:val="28"/>
        </w:rPr>
        <w:t xml:space="preserve">vidence that they have acquired work experience of at least </w:t>
      </w:r>
      <w:r w:rsidR="00307A07">
        <w:rPr>
          <w:sz w:val="28"/>
          <w:szCs w:val="28"/>
        </w:rPr>
        <w:t>3</w:t>
      </w:r>
      <w:r w:rsidR="00B922D8">
        <w:rPr>
          <w:sz w:val="28"/>
          <w:szCs w:val="28"/>
        </w:rPr>
        <w:t xml:space="preserve"> years’ duration at a senior professional / managerial level in an organisation whose operations encompass public and/or business administration;</w:t>
      </w:r>
    </w:p>
    <w:p w:rsidR="00307A07" w:rsidRDefault="00843A5E" w:rsidP="00BD30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7A07">
        <w:rPr>
          <w:sz w:val="28"/>
          <w:szCs w:val="28"/>
        </w:rPr>
        <w:t xml:space="preserve">Non-native users of English </w:t>
      </w:r>
      <w:r w:rsidR="00492A92" w:rsidRPr="00307A07">
        <w:rPr>
          <w:sz w:val="28"/>
          <w:szCs w:val="28"/>
        </w:rPr>
        <w:t xml:space="preserve">must </w:t>
      </w:r>
      <w:r w:rsidR="00943431" w:rsidRPr="00307A07">
        <w:rPr>
          <w:sz w:val="28"/>
          <w:szCs w:val="28"/>
        </w:rPr>
        <w:t xml:space="preserve">be able to demonstrate the attainment of </w:t>
      </w:r>
      <w:r w:rsidR="00492A92" w:rsidRPr="00307A07">
        <w:rPr>
          <w:sz w:val="28"/>
          <w:szCs w:val="28"/>
        </w:rPr>
        <w:t xml:space="preserve">an English Language </w:t>
      </w:r>
      <w:r w:rsidR="00141D27" w:rsidRPr="00307A07">
        <w:rPr>
          <w:sz w:val="28"/>
          <w:szCs w:val="28"/>
        </w:rPr>
        <w:t xml:space="preserve">proficiency </w:t>
      </w:r>
      <w:r w:rsidR="00943431" w:rsidRPr="00307A07">
        <w:rPr>
          <w:sz w:val="28"/>
          <w:szCs w:val="28"/>
        </w:rPr>
        <w:t xml:space="preserve">standard </w:t>
      </w:r>
      <w:r w:rsidR="00FE0D57" w:rsidRPr="00307A07">
        <w:rPr>
          <w:sz w:val="28"/>
          <w:szCs w:val="28"/>
        </w:rPr>
        <w:t xml:space="preserve">equivalent to TOEFL </w:t>
      </w:r>
      <w:r w:rsidR="00307A07" w:rsidRPr="00307A07">
        <w:rPr>
          <w:sz w:val="28"/>
          <w:szCs w:val="28"/>
        </w:rPr>
        <w:t>550</w:t>
      </w:r>
      <w:r w:rsidR="00943431" w:rsidRPr="00307A07">
        <w:rPr>
          <w:sz w:val="28"/>
          <w:szCs w:val="28"/>
        </w:rPr>
        <w:t xml:space="preserve"> at the inception of their doctoral studies</w:t>
      </w:r>
      <w:r w:rsidR="00A742E6">
        <w:rPr>
          <w:sz w:val="28"/>
          <w:szCs w:val="28"/>
        </w:rPr>
        <w:t xml:space="preserve"> (those with a lower TOEFL score may still be considered but must attend English Language classes at S</w:t>
      </w:r>
      <w:r w:rsidR="008901D2">
        <w:rPr>
          <w:sz w:val="28"/>
          <w:szCs w:val="28"/>
        </w:rPr>
        <w:t>hinawatra University</w:t>
      </w:r>
      <w:r w:rsidR="00A742E6">
        <w:rPr>
          <w:sz w:val="28"/>
          <w:szCs w:val="28"/>
        </w:rPr>
        <w:t xml:space="preserve"> to raise t</w:t>
      </w:r>
      <w:r w:rsidR="00F41D95">
        <w:rPr>
          <w:sz w:val="28"/>
          <w:szCs w:val="28"/>
        </w:rPr>
        <w:t>heir proficiency standards to the required standard)</w:t>
      </w:r>
      <w:r w:rsidR="008901D2">
        <w:rPr>
          <w:sz w:val="28"/>
          <w:szCs w:val="28"/>
        </w:rPr>
        <w:t>;</w:t>
      </w:r>
      <w:r w:rsidRPr="00307A07">
        <w:rPr>
          <w:sz w:val="28"/>
          <w:szCs w:val="28"/>
        </w:rPr>
        <w:t xml:space="preserve"> </w:t>
      </w:r>
    </w:p>
    <w:p w:rsidR="00943431" w:rsidRDefault="00943431" w:rsidP="00BD30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7A07">
        <w:rPr>
          <w:sz w:val="28"/>
          <w:szCs w:val="28"/>
        </w:rPr>
        <w:t>They must also pass Shinawatra University’s Advanced English Course (English for Public and Business Administration) before graduation;</w:t>
      </w:r>
    </w:p>
    <w:p w:rsidR="00307A07" w:rsidRDefault="00307A07" w:rsidP="00307A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Native English users and candidates who have already received degrees delivered solely in English as a medium of instruction are exempt from the foregoing two requirements;</w:t>
      </w:r>
    </w:p>
    <w:p w:rsidR="00141D27" w:rsidRDefault="00141D27" w:rsidP="00BD30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They </w:t>
      </w:r>
      <w:r w:rsidR="008901D2">
        <w:rPr>
          <w:sz w:val="28"/>
          <w:szCs w:val="28"/>
        </w:rPr>
        <w:t xml:space="preserve">should </w:t>
      </w:r>
      <w:r>
        <w:rPr>
          <w:sz w:val="28"/>
          <w:szCs w:val="28"/>
        </w:rPr>
        <w:t xml:space="preserve">submit a </w:t>
      </w:r>
      <w:r w:rsidR="00B922D8">
        <w:rPr>
          <w:sz w:val="28"/>
          <w:szCs w:val="28"/>
        </w:rPr>
        <w:t xml:space="preserve">preliminary </w:t>
      </w:r>
      <w:r>
        <w:rPr>
          <w:sz w:val="28"/>
          <w:szCs w:val="28"/>
        </w:rPr>
        <w:t xml:space="preserve">doctoral dissertation proposal deemed acceptable by </w:t>
      </w:r>
      <w:r w:rsidR="00591A3E">
        <w:rPr>
          <w:sz w:val="28"/>
          <w:szCs w:val="28"/>
        </w:rPr>
        <w:t>Shinawatra University</w:t>
      </w:r>
      <w:r w:rsidR="004F623C">
        <w:rPr>
          <w:sz w:val="28"/>
          <w:szCs w:val="28"/>
        </w:rPr>
        <w:t xml:space="preserve"> (for which the latter is able to confirm its ability to arrange suitable academic supervision)</w:t>
      </w:r>
      <w:r w:rsidR="008901D2">
        <w:rPr>
          <w:sz w:val="28"/>
          <w:szCs w:val="28"/>
        </w:rPr>
        <w:t xml:space="preserve"> within 4 months of their arrival at Shinawatra University</w:t>
      </w:r>
      <w:r w:rsidR="00121DAE">
        <w:rPr>
          <w:sz w:val="28"/>
          <w:szCs w:val="28"/>
        </w:rPr>
        <w:t xml:space="preserve">. </w:t>
      </w:r>
      <w:r w:rsidR="008901D2">
        <w:rPr>
          <w:sz w:val="28"/>
          <w:szCs w:val="28"/>
        </w:rPr>
        <w:t xml:space="preserve">Guidance will be provided by </w:t>
      </w:r>
      <w:r w:rsidR="00121DAE">
        <w:rPr>
          <w:sz w:val="28"/>
          <w:szCs w:val="28"/>
        </w:rPr>
        <w:t>Shinawatra University</w:t>
      </w:r>
      <w:r w:rsidR="008901D2">
        <w:rPr>
          <w:sz w:val="28"/>
          <w:szCs w:val="28"/>
        </w:rPr>
        <w:t xml:space="preserve"> to expedite the successful fulfilment of this requirement at the designated time</w:t>
      </w:r>
      <w:r w:rsidR="00121DAE">
        <w:rPr>
          <w:sz w:val="28"/>
          <w:szCs w:val="28"/>
        </w:rPr>
        <w:t>;</w:t>
      </w:r>
    </w:p>
    <w:p w:rsidR="00CA2980" w:rsidRDefault="00CA2980" w:rsidP="00BD30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22D8">
        <w:rPr>
          <w:sz w:val="28"/>
          <w:szCs w:val="28"/>
        </w:rPr>
        <w:t>They should provide originals or certified, legalised or notarised copies of their academic transcripts and related documents together with an academic testimonial</w:t>
      </w:r>
      <w:r w:rsidR="006D5464">
        <w:rPr>
          <w:sz w:val="28"/>
          <w:szCs w:val="28"/>
        </w:rPr>
        <w:t xml:space="preserve"> / </w:t>
      </w:r>
      <w:r w:rsidR="006D5464" w:rsidRPr="006D5464">
        <w:rPr>
          <w:sz w:val="28"/>
          <w:szCs w:val="28"/>
        </w:rPr>
        <w:t>letter of recomme</w:t>
      </w:r>
      <w:r w:rsidR="006D5464">
        <w:rPr>
          <w:sz w:val="28"/>
          <w:szCs w:val="28"/>
        </w:rPr>
        <w:t xml:space="preserve">ndation from a suitable person: </w:t>
      </w:r>
      <w:r w:rsidR="006D5464" w:rsidRPr="006D5464">
        <w:rPr>
          <w:sz w:val="28"/>
          <w:szCs w:val="28"/>
        </w:rPr>
        <w:t xml:space="preserve">preferably </w:t>
      </w:r>
      <w:r w:rsidR="006D5464">
        <w:rPr>
          <w:sz w:val="28"/>
          <w:szCs w:val="28"/>
        </w:rPr>
        <w:t xml:space="preserve">one </w:t>
      </w:r>
      <w:r w:rsidR="006D5464" w:rsidRPr="006D5464">
        <w:rPr>
          <w:sz w:val="28"/>
          <w:szCs w:val="28"/>
        </w:rPr>
        <w:t xml:space="preserve">related to </w:t>
      </w:r>
      <w:r w:rsidR="006D5464">
        <w:rPr>
          <w:sz w:val="28"/>
          <w:szCs w:val="28"/>
        </w:rPr>
        <w:t xml:space="preserve">the </w:t>
      </w:r>
      <w:r w:rsidR="006D5464" w:rsidRPr="006D5464">
        <w:rPr>
          <w:sz w:val="28"/>
          <w:szCs w:val="28"/>
        </w:rPr>
        <w:t>candidate's university degrees</w:t>
      </w:r>
      <w:r w:rsidR="006D5464" w:rsidRPr="006D5464">
        <w:rPr>
          <w:sz w:val="28"/>
          <w:szCs w:val="28"/>
        </w:rPr>
        <w:br/>
      </w:r>
      <w:r w:rsidRPr="00B922D8">
        <w:rPr>
          <w:sz w:val="28"/>
          <w:szCs w:val="28"/>
        </w:rPr>
        <w:t xml:space="preserve">(Shinawatra University reserves the right to subject the foregoing documentation to due </w:t>
      </w:r>
      <w:proofErr w:type="spellStart"/>
      <w:r w:rsidRPr="00B922D8">
        <w:rPr>
          <w:sz w:val="28"/>
          <w:szCs w:val="28"/>
        </w:rPr>
        <w:t>scrutinisation</w:t>
      </w:r>
      <w:proofErr w:type="spellEnd"/>
      <w:r w:rsidRPr="00B922D8">
        <w:rPr>
          <w:sz w:val="28"/>
          <w:szCs w:val="28"/>
        </w:rPr>
        <w:t xml:space="preserve"> and to reject any items of paperwork and concomitant scholarship applications that fail to satisfy its due diligence requirements)</w:t>
      </w:r>
      <w:r w:rsidR="00B922D8">
        <w:rPr>
          <w:sz w:val="28"/>
          <w:szCs w:val="28"/>
        </w:rPr>
        <w:t>.</w:t>
      </w:r>
    </w:p>
    <w:p w:rsidR="00FE0D57" w:rsidRDefault="00FE0D57" w:rsidP="00FE0D5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Scholarship Candidate </w:t>
      </w:r>
      <w:r w:rsidR="00E92A76">
        <w:rPr>
          <w:b/>
          <w:sz w:val="28"/>
          <w:szCs w:val="28"/>
        </w:rPr>
        <w:t>Application</w:t>
      </w:r>
      <w:r>
        <w:rPr>
          <w:b/>
          <w:sz w:val="28"/>
          <w:szCs w:val="28"/>
        </w:rPr>
        <w:t xml:space="preserve"> Procedure</w:t>
      </w:r>
    </w:p>
    <w:p w:rsidR="00FE0D57" w:rsidRDefault="00982943" w:rsidP="00D54687">
      <w:pPr>
        <w:rPr>
          <w:sz w:val="28"/>
          <w:szCs w:val="28"/>
        </w:rPr>
      </w:pPr>
      <w:r>
        <w:rPr>
          <w:sz w:val="28"/>
          <w:szCs w:val="28"/>
        </w:rPr>
        <w:t xml:space="preserve">The scholarship application process shall commence on </w:t>
      </w:r>
      <w:r w:rsidR="00C308F7">
        <w:rPr>
          <w:sz w:val="28"/>
          <w:szCs w:val="28"/>
        </w:rPr>
        <w:t>1</w:t>
      </w:r>
      <w:r w:rsidR="00C308F7" w:rsidRPr="00C308F7">
        <w:rPr>
          <w:sz w:val="28"/>
          <w:szCs w:val="28"/>
          <w:vertAlign w:val="superscript"/>
        </w:rPr>
        <w:t>st</w:t>
      </w:r>
      <w:r w:rsidR="00C308F7">
        <w:rPr>
          <w:sz w:val="28"/>
          <w:szCs w:val="28"/>
        </w:rPr>
        <w:t xml:space="preserve"> October </w:t>
      </w:r>
      <w:r>
        <w:rPr>
          <w:sz w:val="28"/>
          <w:szCs w:val="28"/>
        </w:rPr>
        <w:t xml:space="preserve">2015. </w:t>
      </w:r>
      <w:r w:rsidR="005C7032">
        <w:rPr>
          <w:sz w:val="28"/>
          <w:szCs w:val="28"/>
        </w:rPr>
        <w:t xml:space="preserve">Interested parties </w:t>
      </w:r>
      <w:r w:rsidR="00FE0D57">
        <w:rPr>
          <w:sz w:val="28"/>
          <w:szCs w:val="28"/>
        </w:rPr>
        <w:t xml:space="preserve">are kindly requested to submit </w:t>
      </w:r>
      <w:r w:rsidR="005C7032">
        <w:rPr>
          <w:sz w:val="28"/>
          <w:szCs w:val="28"/>
        </w:rPr>
        <w:t xml:space="preserve">applications </w:t>
      </w:r>
      <w:r w:rsidR="00FE0D57">
        <w:rPr>
          <w:sz w:val="28"/>
          <w:szCs w:val="28"/>
        </w:rPr>
        <w:t xml:space="preserve">by </w:t>
      </w:r>
      <w:r w:rsidR="000E436C">
        <w:rPr>
          <w:sz w:val="28"/>
          <w:szCs w:val="28"/>
        </w:rPr>
        <w:t xml:space="preserve">17.30 (Thailand time) </w:t>
      </w:r>
      <w:r w:rsidR="00FE0D57">
        <w:rPr>
          <w:sz w:val="28"/>
          <w:szCs w:val="28"/>
        </w:rPr>
        <w:t>on Friday 1</w:t>
      </w:r>
      <w:r w:rsidR="00A74CB9" w:rsidRPr="00A74CB9">
        <w:rPr>
          <w:sz w:val="28"/>
          <w:szCs w:val="28"/>
          <w:vertAlign w:val="superscript"/>
        </w:rPr>
        <w:t>st</w:t>
      </w:r>
      <w:r w:rsidR="00A74CB9">
        <w:rPr>
          <w:sz w:val="28"/>
          <w:szCs w:val="28"/>
        </w:rPr>
        <w:t xml:space="preserve"> </w:t>
      </w:r>
      <w:r w:rsidR="00FE0D57">
        <w:rPr>
          <w:sz w:val="28"/>
          <w:szCs w:val="28"/>
        </w:rPr>
        <w:t>J</w:t>
      </w:r>
      <w:r w:rsidR="00A74CB9">
        <w:rPr>
          <w:sz w:val="28"/>
          <w:szCs w:val="28"/>
        </w:rPr>
        <w:t>anuar</w:t>
      </w:r>
      <w:r w:rsidR="00FE0D57">
        <w:rPr>
          <w:sz w:val="28"/>
          <w:szCs w:val="28"/>
        </w:rPr>
        <w:t>y 201</w:t>
      </w:r>
      <w:r w:rsidR="00A74CB9">
        <w:rPr>
          <w:sz w:val="28"/>
          <w:szCs w:val="28"/>
        </w:rPr>
        <w:t>6</w:t>
      </w:r>
      <w:r w:rsidR="00FE0D57">
        <w:rPr>
          <w:sz w:val="28"/>
          <w:szCs w:val="28"/>
        </w:rPr>
        <w:t xml:space="preserve"> sent by international air mail, electronic mail or facsimile communication using the following contact details:</w:t>
      </w:r>
    </w:p>
    <w:p w:rsidR="0077312C" w:rsidRDefault="0077312C" w:rsidP="00FE0D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Institute of Public Administration and Governance (IPAG)</w:t>
      </w:r>
    </w:p>
    <w:p w:rsidR="0077312C" w:rsidRDefault="0077312C" w:rsidP="007731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Shinawatra University</w:t>
      </w:r>
    </w:p>
    <w:p w:rsidR="0077312C" w:rsidRDefault="00F53A1D" w:rsidP="0077312C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c/o</w:t>
      </w:r>
      <w:proofErr w:type="gramEnd"/>
      <w:r>
        <w:rPr>
          <w:sz w:val="28"/>
          <w:szCs w:val="28"/>
        </w:rPr>
        <w:t xml:space="preserve"> Centre for International Studies and Continuing Education (CISCE)</w:t>
      </w:r>
    </w:p>
    <w:p w:rsidR="00E87507" w:rsidRDefault="00E87507" w:rsidP="007731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Room 202</w:t>
      </w:r>
    </w:p>
    <w:p w:rsidR="00E87507" w:rsidRPr="00E87507" w:rsidRDefault="00E87507" w:rsidP="00E87507">
      <w:pPr>
        <w:pStyle w:val="ListParagraph"/>
        <w:rPr>
          <w:sz w:val="28"/>
          <w:szCs w:val="28"/>
          <w:lang w:val="en-US"/>
        </w:rPr>
      </w:pPr>
      <w:r w:rsidRPr="00E87507">
        <w:rPr>
          <w:sz w:val="28"/>
          <w:szCs w:val="28"/>
          <w:lang w:val="en-US"/>
        </w:rPr>
        <w:t>BBD Building</w:t>
      </w:r>
    </w:p>
    <w:p w:rsidR="00E87507" w:rsidRPr="00E87507" w:rsidRDefault="00E87507" w:rsidP="00E87507">
      <w:pPr>
        <w:pStyle w:val="ListParagraph"/>
        <w:rPr>
          <w:sz w:val="28"/>
          <w:szCs w:val="28"/>
          <w:lang w:val="en-US"/>
        </w:rPr>
      </w:pPr>
      <w:proofErr w:type="spellStart"/>
      <w:r w:rsidRPr="00E87507">
        <w:rPr>
          <w:sz w:val="28"/>
          <w:szCs w:val="28"/>
          <w:lang w:val="en-US"/>
        </w:rPr>
        <w:t>Viphavadee</w:t>
      </w:r>
      <w:proofErr w:type="spellEnd"/>
      <w:r w:rsidRPr="00E87507">
        <w:rPr>
          <w:sz w:val="28"/>
          <w:szCs w:val="28"/>
          <w:lang w:val="en-US"/>
        </w:rPr>
        <w:t xml:space="preserve"> </w:t>
      </w:r>
      <w:proofErr w:type="spellStart"/>
      <w:r w:rsidRPr="00E87507">
        <w:rPr>
          <w:sz w:val="28"/>
          <w:szCs w:val="28"/>
          <w:lang w:val="en-US"/>
        </w:rPr>
        <w:t>Rangsit</w:t>
      </w:r>
      <w:proofErr w:type="spellEnd"/>
      <w:r w:rsidRPr="00E87507">
        <w:rPr>
          <w:sz w:val="28"/>
          <w:szCs w:val="28"/>
          <w:lang w:val="en-US"/>
        </w:rPr>
        <w:t xml:space="preserve"> Road</w:t>
      </w:r>
    </w:p>
    <w:p w:rsidR="00E87507" w:rsidRPr="00E87507" w:rsidRDefault="00E87507" w:rsidP="00E87507">
      <w:pPr>
        <w:pStyle w:val="ListParagraph"/>
        <w:rPr>
          <w:sz w:val="28"/>
          <w:szCs w:val="28"/>
          <w:lang w:val="en-US"/>
        </w:rPr>
      </w:pPr>
      <w:proofErr w:type="spellStart"/>
      <w:r w:rsidRPr="00E87507">
        <w:rPr>
          <w:sz w:val="28"/>
          <w:szCs w:val="28"/>
          <w:lang w:val="en-US"/>
        </w:rPr>
        <w:t>Samsennai</w:t>
      </w:r>
      <w:proofErr w:type="spellEnd"/>
    </w:p>
    <w:p w:rsidR="00E87507" w:rsidRPr="00E87507" w:rsidRDefault="00E87507" w:rsidP="00E87507">
      <w:pPr>
        <w:pStyle w:val="ListParagraph"/>
        <w:rPr>
          <w:sz w:val="28"/>
          <w:szCs w:val="28"/>
          <w:lang w:val="en-US"/>
        </w:rPr>
      </w:pPr>
      <w:proofErr w:type="spellStart"/>
      <w:r w:rsidRPr="00E87507">
        <w:rPr>
          <w:sz w:val="28"/>
          <w:szCs w:val="28"/>
          <w:lang w:val="en-US"/>
        </w:rPr>
        <w:t>Phayathai</w:t>
      </w:r>
      <w:proofErr w:type="spellEnd"/>
    </w:p>
    <w:p w:rsidR="00E87507" w:rsidRPr="00E87507" w:rsidRDefault="00E87507" w:rsidP="00E87507">
      <w:pPr>
        <w:pStyle w:val="ListParagraph"/>
        <w:rPr>
          <w:sz w:val="28"/>
          <w:szCs w:val="28"/>
          <w:lang w:val="en-US"/>
        </w:rPr>
      </w:pPr>
      <w:r w:rsidRPr="00E87507">
        <w:rPr>
          <w:sz w:val="28"/>
          <w:szCs w:val="28"/>
          <w:lang w:val="en-US"/>
        </w:rPr>
        <w:t>Bangkok 10400</w:t>
      </w:r>
    </w:p>
    <w:p w:rsidR="0077312C" w:rsidRDefault="0077312C" w:rsidP="007731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Kingdom of </w:t>
      </w:r>
      <w:r w:rsidRPr="0077312C">
        <w:rPr>
          <w:sz w:val="28"/>
          <w:szCs w:val="28"/>
        </w:rPr>
        <w:t>Thailand</w:t>
      </w:r>
      <w:r w:rsidRPr="0077312C">
        <w:rPr>
          <w:sz w:val="28"/>
          <w:szCs w:val="28"/>
        </w:rPr>
        <w:br/>
      </w:r>
    </w:p>
    <w:p w:rsidR="0077312C" w:rsidRDefault="00E45474" w:rsidP="007731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r w:rsidR="008901D2">
        <w:rPr>
          <w:sz w:val="28"/>
          <w:szCs w:val="28"/>
        </w:rPr>
        <w:t xml:space="preserve"> &lt;</w:t>
      </w:r>
      <w:hyperlink r:id="rId6" w:history="1">
        <w:r w:rsidR="00A74CB9" w:rsidRPr="00BC65E9">
          <w:rPr>
            <w:rStyle w:val="Hyperlink"/>
            <w:sz w:val="28"/>
            <w:szCs w:val="28"/>
          </w:rPr>
          <w:t>cisce@siu.ac.th</w:t>
        </w:r>
      </w:hyperlink>
      <w:r w:rsidR="008901D2">
        <w:rPr>
          <w:sz w:val="28"/>
          <w:szCs w:val="28"/>
        </w:rPr>
        <w:t xml:space="preserve">&gt; </w:t>
      </w:r>
    </w:p>
    <w:p w:rsidR="0077312C" w:rsidRDefault="0077312C" w:rsidP="0077312C">
      <w:pPr>
        <w:pStyle w:val="ListParagraph"/>
        <w:rPr>
          <w:sz w:val="28"/>
          <w:szCs w:val="28"/>
        </w:rPr>
      </w:pPr>
    </w:p>
    <w:p w:rsidR="00FE0D57" w:rsidRDefault="00E45474" w:rsidP="007731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Facsimile + </w:t>
      </w:r>
      <w:r w:rsidRPr="00E45474">
        <w:rPr>
          <w:sz w:val="28"/>
          <w:szCs w:val="28"/>
        </w:rPr>
        <w:t>66 (2) 650 6033</w:t>
      </w:r>
    </w:p>
    <w:p w:rsidR="00235EC1" w:rsidRPr="00235EC1" w:rsidRDefault="00235EC1" w:rsidP="00235EC1">
      <w:pPr>
        <w:pStyle w:val="ListParagraph"/>
        <w:rPr>
          <w:sz w:val="28"/>
          <w:szCs w:val="28"/>
        </w:rPr>
      </w:pPr>
    </w:p>
    <w:p w:rsidR="0077312C" w:rsidRDefault="007626A5" w:rsidP="0077312C">
      <w:pPr>
        <w:rPr>
          <w:sz w:val="28"/>
          <w:szCs w:val="28"/>
        </w:rPr>
      </w:pPr>
      <w:r>
        <w:rPr>
          <w:sz w:val="28"/>
          <w:szCs w:val="28"/>
        </w:rPr>
        <w:t>Enqu</w:t>
      </w:r>
      <w:r w:rsidR="00E45474">
        <w:rPr>
          <w:sz w:val="28"/>
          <w:szCs w:val="28"/>
        </w:rPr>
        <w:t>iries should be addressed to Mr Andrew Elliott</w:t>
      </w:r>
      <w:r w:rsidR="00CF5861">
        <w:rPr>
          <w:sz w:val="28"/>
          <w:szCs w:val="28"/>
        </w:rPr>
        <w:t xml:space="preserve">. </w:t>
      </w:r>
    </w:p>
    <w:p w:rsidR="00CF5861" w:rsidRDefault="00CF5861" w:rsidP="008822A1">
      <w:pPr>
        <w:rPr>
          <w:b/>
          <w:sz w:val="28"/>
          <w:szCs w:val="28"/>
        </w:rPr>
      </w:pPr>
    </w:p>
    <w:p w:rsidR="00CF5861" w:rsidRDefault="00CF5861" w:rsidP="008822A1">
      <w:pPr>
        <w:rPr>
          <w:b/>
          <w:sz w:val="28"/>
          <w:szCs w:val="28"/>
        </w:rPr>
      </w:pPr>
    </w:p>
    <w:p w:rsidR="00CF5861" w:rsidRDefault="00CF5861" w:rsidP="008822A1">
      <w:pPr>
        <w:rPr>
          <w:b/>
          <w:sz w:val="28"/>
          <w:szCs w:val="28"/>
        </w:rPr>
      </w:pPr>
    </w:p>
    <w:p w:rsidR="00CF5861" w:rsidRDefault="00CF5861" w:rsidP="008822A1">
      <w:pPr>
        <w:rPr>
          <w:b/>
          <w:sz w:val="28"/>
          <w:szCs w:val="28"/>
        </w:rPr>
      </w:pPr>
    </w:p>
    <w:p w:rsidR="00CF5861" w:rsidRDefault="00CF5861" w:rsidP="008822A1">
      <w:pPr>
        <w:rPr>
          <w:b/>
          <w:sz w:val="28"/>
          <w:szCs w:val="28"/>
        </w:rPr>
      </w:pPr>
    </w:p>
    <w:p w:rsidR="00CF5861" w:rsidRDefault="00CF5861" w:rsidP="008822A1">
      <w:pPr>
        <w:rPr>
          <w:b/>
          <w:sz w:val="28"/>
          <w:szCs w:val="28"/>
        </w:rPr>
      </w:pPr>
    </w:p>
    <w:p w:rsidR="00CF5861" w:rsidRDefault="00CF5861" w:rsidP="008822A1">
      <w:pPr>
        <w:rPr>
          <w:b/>
          <w:sz w:val="28"/>
          <w:szCs w:val="28"/>
        </w:rPr>
      </w:pPr>
    </w:p>
    <w:p w:rsidR="00CF5861" w:rsidRDefault="00CF5861" w:rsidP="008822A1">
      <w:pPr>
        <w:rPr>
          <w:b/>
          <w:sz w:val="28"/>
          <w:szCs w:val="28"/>
        </w:rPr>
      </w:pPr>
    </w:p>
    <w:p w:rsidR="00CF5861" w:rsidRDefault="00CF5861" w:rsidP="008822A1">
      <w:pPr>
        <w:rPr>
          <w:b/>
          <w:sz w:val="28"/>
          <w:szCs w:val="28"/>
        </w:rPr>
      </w:pPr>
    </w:p>
    <w:p w:rsidR="008822A1" w:rsidRDefault="008822A1" w:rsidP="008822A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Conferment of Scholarships</w:t>
      </w:r>
    </w:p>
    <w:p w:rsidR="00914410" w:rsidRDefault="00914410" w:rsidP="008822A1">
      <w:pPr>
        <w:rPr>
          <w:sz w:val="28"/>
          <w:szCs w:val="28"/>
        </w:rPr>
      </w:pPr>
      <w:r>
        <w:rPr>
          <w:sz w:val="28"/>
          <w:szCs w:val="28"/>
        </w:rPr>
        <w:t xml:space="preserve">Shinawatra University is pleased to </w:t>
      </w:r>
      <w:r w:rsidR="000E436C">
        <w:rPr>
          <w:sz w:val="28"/>
          <w:szCs w:val="28"/>
        </w:rPr>
        <w:t xml:space="preserve">welcome and </w:t>
      </w:r>
      <w:r>
        <w:rPr>
          <w:sz w:val="28"/>
          <w:szCs w:val="28"/>
        </w:rPr>
        <w:t>consider scholarship recom</w:t>
      </w:r>
      <w:r w:rsidR="00EE30C9">
        <w:rPr>
          <w:sz w:val="28"/>
          <w:szCs w:val="28"/>
        </w:rPr>
        <w:t xml:space="preserve">mendations from all </w:t>
      </w:r>
      <w:r w:rsidR="000E436C">
        <w:rPr>
          <w:sz w:val="28"/>
          <w:szCs w:val="28"/>
        </w:rPr>
        <w:t>suitably qualified applicants</w:t>
      </w:r>
      <w:r>
        <w:rPr>
          <w:sz w:val="28"/>
          <w:szCs w:val="28"/>
        </w:rPr>
        <w:t xml:space="preserve">. </w:t>
      </w:r>
      <w:r w:rsidR="000E436C">
        <w:rPr>
          <w:sz w:val="28"/>
          <w:szCs w:val="28"/>
        </w:rPr>
        <w:t xml:space="preserve">It will select scholarship awardees from such applications </w:t>
      </w:r>
      <w:r w:rsidR="00CF5861">
        <w:rPr>
          <w:sz w:val="28"/>
          <w:szCs w:val="28"/>
        </w:rPr>
        <w:t>during the period referred to hereinbefore</w:t>
      </w:r>
      <w:r w:rsidR="00982943">
        <w:rPr>
          <w:sz w:val="28"/>
          <w:szCs w:val="28"/>
        </w:rPr>
        <w:t xml:space="preserve"> and notify successful </w:t>
      </w:r>
      <w:r w:rsidR="000E436C">
        <w:rPr>
          <w:sz w:val="28"/>
          <w:szCs w:val="28"/>
        </w:rPr>
        <w:t>recipients</w:t>
      </w:r>
      <w:r w:rsidR="00CF5861">
        <w:rPr>
          <w:sz w:val="28"/>
          <w:szCs w:val="28"/>
        </w:rPr>
        <w:t xml:space="preserve"> accordingly</w:t>
      </w:r>
      <w:r w:rsidR="00982943">
        <w:rPr>
          <w:sz w:val="28"/>
          <w:szCs w:val="28"/>
        </w:rPr>
        <w:t xml:space="preserve">.  </w:t>
      </w:r>
      <w:r>
        <w:rPr>
          <w:sz w:val="28"/>
          <w:szCs w:val="28"/>
        </w:rPr>
        <w:t>Shinawatra University reserves the sole and exclusive right to determine (at its absolute discretion) the outcome of such recommendations and to decide which candidates receive scholarships.</w:t>
      </w:r>
    </w:p>
    <w:p w:rsidR="00CA2980" w:rsidRPr="00CA2980" w:rsidRDefault="00CA2980" w:rsidP="00CA298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While scholarships are normally extended for the duration of a successful applicant’s doctoral studies in the field in question, Shinawatra University further reserves the right at its absolute discretion to </w:t>
      </w:r>
      <w:r w:rsidR="00C12CEC">
        <w:rPr>
          <w:bCs/>
          <w:sz w:val="28"/>
          <w:szCs w:val="28"/>
        </w:rPr>
        <w:t xml:space="preserve">suspend or </w:t>
      </w:r>
      <w:r>
        <w:rPr>
          <w:bCs/>
          <w:sz w:val="28"/>
          <w:szCs w:val="28"/>
        </w:rPr>
        <w:t>terminate a s</w:t>
      </w:r>
      <w:r w:rsidRPr="00CA2980">
        <w:rPr>
          <w:bCs/>
          <w:sz w:val="28"/>
          <w:szCs w:val="28"/>
        </w:rPr>
        <w:t xml:space="preserve">cholarship </w:t>
      </w:r>
      <w:r>
        <w:rPr>
          <w:bCs/>
          <w:sz w:val="28"/>
          <w:szCs w:val="28"/>
        </w:rPr>
        <w:t>at any time in the event that a scholarship holder should be deemed by the university to be in material breach of its regulations concerning adherence to its terms</w:t>
      </w:r>
      <w:r w:rsidR="00CF5861">
        <w:rPr>
          <w:bCs/>
          <w:sz w:val="28"/>
          <w:szCs w:val="28"/>
        </w:rPr>
        <w:t xml:space="preserve"> or </w:t>
      </w:r>
      <w:r>
        <w:rPr>
          <w:bCs/>
          <w:sz w:val="28"/>
          <w:szCs w:val="28"/>
        </w:rPr>
        <w:t xml:space="preserve">conditions, the submission of required documentation, </w:t>
      </w:r>
      <w:r w:rsidRPr="00CA2980">
        <w:rPr>
          <w:bCs/>
          <w:sz w:val="28"/>
          <w:szCs w:val="28"/>
        </w:rPr>
        <w:t xml:space="preserve">satisfactory conduct, </w:t>
      </w:r>
      <w:r>
        <w:rPr>
          <w:bCs/>
          <w:sz w:val="28"/>
          <w:szCs w:val="28"/>
        </w:rPr>
        <w:t xml:space="preserve">academic </w:t>
      </w:r>
      <w:r w:rsidRPr="00CA2980">
        <w:rPr>
          <w:bCs/>
          <w:sz w:val="28"/>
          <w:szCs w:val="28"/>
        </w:rPr>
        <w:t>progress</w:t>
      </w:r>
      <w:r>
        <w:rPr>
          <w:bCs/>
          <w:sz w:val="28"/>
          <w:szCs w:val="28"/>
        </w:rPr>
        <w:t xml:space="preserve"> or</w:t>
      </w:r>
      <w:r w:rsidRPr="00CA2980">
        <w:rPr>
          <w:bCs/>
          <w:sz w:val="28"/>
          <w:szCs w:val="28"/>
        </w:rPr>
        <w:t xml:space="preserve"> attendance</w:t>
      </w:r>
      <w:r>
        <w:rPr>
          <w:bCs/>
          <w:sz w:val="28"/>
          <w:szCs w:val="28"/>
        </w:rPr>
        <w:t xml:space="preserve"> or</w:t>
      </w:r>
      <w:r w:rsidRPr="00CA29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to be suffering from serious </w:t>
      </w:r>
      <w:r w:rsidRPr="00CA2980">
        <w:rPr>
          <w:bCs/>
          <w:sz w:val="28"/>
          <w:szCs w:val="28"/>
        </w:rPr>
        <w:t>ill health</w:t>
      </w:r>
      <w:r>
        <w:rPr>
          <w:bCs/>
          <w:sz w:val="28"/>
          <w:szCs w:val="28"/>
        </w:rPr>
        <w:t xml:space="preserve"> or other indisposition likely or liable </w:t>
      </w:r>
      <w:r w:rsidR="00CF5861">
        <w:rPr>
          <w:bCs/>
          <w:sz w:val="28"/>
          <w:szCs w:val="28"/>
        </w:rPr>
        <w:t xml:space="preserve">in the opinion of Shinawatra University </w:t>
      </w:r>
      <w:r w:rsidR="00C12CEC">
        <w:rPr>
          <w:bCs/>
          <w:sz w:val="28"/>
          <w:szCs w:val="28"/>
        </w:rPr>
        <w:t xml:space="preserve">adversely to affect or </w:t>
      </w:r>
      <w:r>
        <w:rPr>
          <w:bCs/>
          <w:sz w:val="28"/>
          <w:szCs w:val="28"/>
        </w:rPr>
        <w:t xml:space="preserve">to prevent his or her being able to attend fully to their academic studies. </w:t>
      </w:r>
    </w:p>
    <w:p w:rsidR="00CA2980" w:rsidRPr="00914410" w:rsidRDefault="00CA2980" w:rsidP="008822A1">
      <w:pPr>
        <w:rPr>
          <w:sz w:val="28"/>
          <w:szCs w:val="28"/>
        </w:rPr>
      </w:pPr>
    </w:p>
    <w:p w:rsidR="0077312C" w:rsidRDefault="0077312C" w:rsidP="0077312C">
      <w:pPr>
        <w:rPr>
          <w:sz w:val="28"/>
          <w:szCs w:val="28"/>
        </w:rPr>
      </w:pPr>
    </w:p>
    <w:p w:rsidR="00C12CEC" w:rsidRDefault="00C12CEC" w:rsidP="0077312C">
      <w:pPr>
        <w:rPr>
          <w:sz w:val="28"/>
          <w:szCs w:val="28"/>
        </w:rPr>
      </w:pPr>
    </w:p>
    <w:p w:rsidR="00C12CEC" w:rsidRDefault="00C12CEC" w:rsidP="0077312C">
      <w:pPr>
        <w:rPr>
          <w:sz w:val="28"/>
          <w:szCs w:val="28"/>
        </w:rPr>
      </w:pPr>
    </w:p>
    <w:p w:rsidR="00C12CEC" w:rsidRDefault="00C12CEC" w:rsidP="0077312C">
      <w:pPr>
        <w:rPr>
          <w:sz w:val="28"/>
          <w:szCs w:val="28"/>
        </w:rPr>
      </w:pPr>
    </w:p>
    <w:sectPr w:rsidR="00C12CEC" w:rsidSect="00263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2A8"/>
    <w:multiLevelType w:val="hybridMultilevel"/>
    <w:tmpl w:val="726E7834"/>
    <w:lvl w:ilvl="0" w:tplc="89E6AF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E7AA8"/>
    <w:multiLevelType w:val="hybridMultilevel"/>
    <w:tmpl w:val="C8C4B416"/>
    <w:lvl w:ilvl="0" w:tplc="D83290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D5E98"/>
    <w:multiLevelType w:val="hybridMultilevel"/>
    <w:tmpl w:val="6AFE2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121E7"/>
    <w:multiLevelType w:val="multilevel"/>
    <w:tmpl w:val="8C0AE7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C71219"/>
    <w:multiLevelType w:val="multilevel"/>
    <w:tmpl w:val="E250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134CA3"/>
    <w:multiLevelType w:val="multilevel"/>
    <w:tmpl w:val="8A489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docVars>
    <w:docVar w:name="dgnword-docGUID" w:val="{32847835-EBCF-4A3A-B320-0C1CF0B80446}"/>
    <w:docVar w:name="dgnword-eventsink" w:val="92463640"/>
  </w:docVars>
  <w:rsids>
    <w:rsidRoot w:val="00550C27"/>
    <w:rsid w:val="000C54D6"/>
    <w:rsid w:val="000E436C"/>
    <w:rsid w:val="00121DAE"/>
    <w:rsid w:val="001227BD"/>
    <w:rsid w:val="00141D27"/>
    <w:rsid w:val="00187C31"/>
    <w:rsid w:val="00235EC1"/>
    <w:rsid w:val="0026159F"/>
    <w:rsid w:val="00263BD4"/>
    <w:rsid w:val="002729FC"/>
    <w:rsid w:val="00307A07"/>
    <w:rsid w:val="003904E1"/>
    <w:rsid w:val="003932BE"/>
    <w:rsid w:val="003A7B41"/>
    <w:rsid w:val="004348FA"/>
    <w:rsid w:val="00462D4B"/>
    <w:rsid w:val="004737E3"/>
    <w:rsid w:val="00492A92"/>
    <w:rsid w:val="004C5586"/>
    <w:rsid w:val="004C5BD4"/>
    <w:rsid w:val="004F623C"/>
    <w:rsid w:val="00514178"/>
    <w:rsid w:val="00542C47"/>
    <w:rsid w:val="005457E4"/>
    <w:rsid w:val="00550C27"/>
    <w:rsid w:val="00591A3E"/>
    <w:rsid w:val="005C7032"/>
    <w:rsid w:val="00622DE0"/>
    <w:rsid w:val="00625657"/>
    <w:rsid w:val="006D5464"/>
    <w:rsid w:val="007365D4"/>
    <w:rsid w:val="00751749"/>
    <w:rsid w:val="007626A5"/>
    <w:rsid w:val="00772325"/>
    <w:rsid w:val="0077312C"/>
    <w:rsid w:val="00843A5E"/>
    <w:rsid w:val="008822A1"/>
    <w:rsid w:val="008901D2"/>
    <w:rsid w:val="008D3EF5"/>
    <w:rsid w:val="009033D9"/>
    <w:rsid w:val="00914410"/>
    <w:rsid w:val="00943431"/>
    <w:rsid w:val="00973A1F"/>
    <w:rsid w:val="00980C0C"/>
    <w:rsid w:val="00982943"/>
    <w:rsid w:val="009D14C8"/>
    <w:rsid w:val="00A11DF9"/>
    <w:rsid w:val="00A742E6"/>
    <w:rsid w:val="00A74CB9"/>
    <w:rsid w:val="00A7751F"/>
    <w:rsid w:val="00A91DD2"/>
    <w:rsid w:val="00B4245A"/>
    <w:rsid w:val="00B76E84"/>
    <w:rsid w:val="00B922D8"/>
    <w:rsid w:val="00BD307D"/>
    <w:rsid w:val="00C12CEC"/>
    <w:rsid w:val="00C308F7"/>
    <w:rsid w:val="00C532C7"/>
    <w:rsid w:val="00C70D04"/>
    <w:rsid w:val="00C97ADA"/>
    <w:rsid w:val="00CA2980"/>
    <w:rsid w:val="00CC3148"/>
    <w:rsid w:val="00CE2841"/>
    <w:rsid w:val="00CF5861"/>
    <w:rsid w:val="00D137FB"/>
    <w:rsid w:val="00D153D8"/>
    <w:rsid w:val="00D54687"/>
    <w:rsid w:val="00D670F3"/>
    <w:rsid w:val="00E45474"/>
    <w:rsid w:val="00E650B2"/>
    <w:rsid w:val="00E87507"/>
    <w:rsid w:val="00E92A76"/>
    <w:rsid w:val="00EE30C9"/>
    <w:rsid w:val="00F002ED"/>
    <w:rsid w:val="00F41D95"/>
    <w:rsid w:val="00F53A1D"/>
    <w:rsid w:val="00FD5D65"/>
    <w:rsid w:val="00FE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0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91DD2"/>
    <w:rPr>
      <w:b/>
      <w:bCs/>
    </w:rPr>
  </w:style>
  <w:style w:type="character" w:styleId="Hyperlink">
    <w:name w:val="Hyperlink"/>
    <w:basedOn w:val="DefaultParagraphFont"/>
    <w:uiPriority w:val="99"/>
    <w:unhideWhenUsed/>
    <w:rsid w:val="007731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sce@siu.ac.th" TargetMode="External"/><Relationship Id="rId5" Type="http://schemas.openxmlformats.org/officeDocument/2006/relationships/hyperlink" Target="http://www.xe.com/currencyconver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5</cp:revision>
  <cp:lastPrinted>2015-05-07T06:18:00Z</cp:lastPrinted>
  <dcterms:created xsi:type="dcterms:W3CDTF">2015-09-21T04:38:00Z</dcterms:created>
  <dcterms:modified xsi:type="dcterms:W3CDTF">2015-09-22T08:06:00Z</dcterms:modified>
</cp:coreProperties>
</file>